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1C3A" w14:textId="77777777" w:rsidR="007E5F33" w:rsidRDefault="007E5F33">
      <w:pPr>
        <w:jc w:val="center"/>
      </w:pPr>
    </w:p>
    <w:p w14:paraId="7771B7BE" w14:textId="77777777" w:rsidR="00E0725E" w:rsidRPr="00A25E6F" w:rsidRDefault="00E0725E" w:rsidP="00E0725E">
      <w:pPr>
        <w:jc w:val="center"/>
        <w:rPr>
          <w:rFonts w:ascii="Calibri" w:hAnsi="Calibri"/>
          <w:b/>
          <w:color w:val="943634"/>
          <w:sz w:val="72"/>
          <w:szCs w:val="72"/>
        </w:rPr>
      </w:pPr>
      <w:r>
        <w:rPr>
          <w:rFonts w:ascii="Calibri" w:hAnsi="Calibri"/>
          <w:b/>
          <w:color w:val="943634"/>
          <w:sz w:val="72"/>
          <w:szCs w:val="72"/>
        </w:rPr>
        <w:t>CEFN SAESON COMPREHENSIVE SCHOOL</w:t>
      </w:r>
    </w:p>
    <w:p w14:paraId="60A2DF78" w14:textId="77777777" w:rsidR="00E0725E" w:rsidRDefault="00E0725E" w:rsidP="00E0725E">
      <w:pPr>
        <w:jc w:val="center"/>
        <w:rPr>
          <w:rFonts w:ascii="Calibri" w:hAnsi="Calibri"/>
          <w:b/>
          <w:color w:val="943634"/>
          <w:sz w:val="28"/>
        </w:rPr>
      </w:pPr>
    </w:p>
    <w:p w14:paraId="6363EAB7" w14:textId="77777777" w:rsidR="00E0725E" w:rsidRDefault="00E0725E" w:rsidP="00E0725E">
      <w:pPr>
        <w:rPr>
          <w:rFonts w:ascii="Calibri" w:hAnsi="Calibri"/>
          <w:b/>
          <w:color w:val="943634"/>
          <w:sz w:val="28"/>
        </w:rPr>
      </w:pPr>
      <w:r>
        <w:rPr>
          <w:noProof/>
          <w:lang w:eastAsia="en-GB"/>
        </w:rPr>
        <w:drawing>
          <wp:anchor distT="0" distB="0" distL="114300" distR="114300" simplePos="0" relativeHeight="251658240" behindDoc="0" locked="0" layoutInCell="1" allowOverlap="1" wp14:anchorId="77C3D92B" wp14:editId="2F6F41E1">
            <wp:simplePos x="0" y="0"/>
            <wp:positionH relativeFrom="margin">
              <wp:align>center</wp:align>
            </wp:positionH>
            <wp:positionV relativeFrom="paragraph">
              <wp:posOffset>132715</wp:posOffset>
            </wp:positionV>
            <wp:extent cx="2189480" cy="2211597"/>
            <wp:effectExtent l="0" t="0" r="1270" b="0"/>
            <wp:wrapNone/>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extLst>
                        <a:ext uri="{28A0092B-C50C-407E-A947-70E740481C1C}">
                          <a14:useLocalDpi xmlns:a14="http://schemas.microsoft.com/office/drawing/2010/main" val="0"/>
                        </a:ext>
                      </a:extLst>
                    </a:blip>
                    <a:srcRect/>
                    <a:stretch/>
                  </pic:blipFill>
                  <pic:spPr>
                    <a:xfrm>
                      <a:off x="0" y="0"/>
                      <a:ext cx="2189480" cy="2211597"/>
                    </a:xfrm>
                    <a:prstGeom prst="rect">
                      <a:avLst/>
                    </a:prstGeom>
                  </pic:spPr>
                </pic:pic>
              </a:graphicData>
            </a:graphic>
          </wp:anchor>
        </w:drawing>
      </w:r>
    </w:p>
    <w:p w14:paraId="0B304C72" w14:textId="77777777" w:rsidR="00E0725E" w:rsidRDefault="00E0725E" w:rsidP="00E0725E">
      <w:pPr>
        <w:rPr>
          <w:rFonts w:ascii="Calibri" w:hAnsi="Calibri"/>
          <w:b/>
          <w:color w:val="943634"/>
          <w:sz w:val="28"/>
        </w:rPr>
      </w:pPr>
    </w:p>
    <w:p w14:paraId="56F15C59" w14:textId="77777777" w:rsidR="00E0725E" w:rsidRDefault="00E0725E" w:rsidP="00E0725E">
      <w:pPr>
        <w:rPr>
          <w:rFonts w:ascii="Calibri" w:hAnsi="Calibri"/>
          <w:b/>
          <w:color w:val="943634"/>
          <w:sz w:val="28"/>
        </w:rPr>
      </w:pPr>
    </w:p>
    <w:p w14:paraId="04709F3F" w14:textId="77777777" w:rsidR="00E0725E" w:rsidRDefault="00E0725E" w:rsidP="00E0725E">
      <w:pPr>
        <w:rPr>
          <w:rFonts w:ascii="Calibri" w:hAnsi="Calibri"/>
          <w:b/>
          <w:color w:val="943634"/>
          <w:sz w:val="28"/>
        </w:rPr>
      </w:pPr>
    </w:p>
    <w:p w14:paraId="6F99F05A" w14:textId="77777777" w:rsidR="00E0725E" w:rsidRDefault="00E0725E" w:rsidP="00E0725E">
      <w:pPr>
        <w:jc w:val="center"/>
        <w:rPr>
          <w:rFonts w:ascii="Calibri" w:hAnsi="Calibri"/>
          <w:b/>
          <w:color w:val="943634"/>
          <w:sz w:val="72"/>
          <w:szCs w:val="72"/>
        </w:rPr>
      </w:pPr>
    </w:p>
    <w:p w14:paraId="35DF80EC" w14:textId="77777777" w:rsidR="00E0725E" w:rsidRDefault="00E0725E" w:rsidP="00E0725E">
      <w:pPr>
        <w:jc w:val="center"/>
        <w:rPr>
          <w:rFonts w:ascii="Calibri" w:hAnsi="Calibri"/>
          <w:b/>
          <w:color w:val="943634"/>
          <w:sz w:val="72"/>
          <w:szCs w:val="72"/>
        </w:rPr>
      </w:pPr>
    </w:p>
    <w:p w14:paraId="7325448D" w14:textId="31C920C5" w:rsidR="00E0725E" w:rsidRPr="00A25E6F" w:rsidRDefault="00E0725E" w:rsidP="00E0725E">
      <w:pPr>
        <w:jc w:val="center"/>
        <w:rPr>
          <w:rFonts w:ascii="Calibri" w:hAnsi="Calibri"/>
          <w:b/>
          <w:color w:val="943634"/>
          <w:sz w:val="72"/>
          <w:szCs w:val="72"/>
        </w:rPr>
      </w:pPr>
      <w:r>
        <w:rPr>
          <w:rFonts w:ascii="Calibri" w:hAnsi="Calibri"/>
          <w:b/>
          <w:color w:val="943634"/>
          <w:sz w:val="72"/>
          <w:szCs w:val="72"/>
        </w:rPr>
        <w:t xml:space="preserve">TRANSITION </w:t>
      </w:r>
      <w:r w:rsidRPr="00A25E6F">
        <w:rPr>
          <w:rFonts w:ascii="Calibri" w:hAnsi="Calibri"/>
          <w:b/>
          <w:color w:val="943634"/>
          <w:sz w:val="72"/>
          <w:szCs w:val="72"/>
        </w:rPr>
        <w:t>POLICY</w:t>
      </w:r>
    </w:p>
    <w:p w14:paraId="485C2C79" w14:textId="77777777" w:rsidR="006567FB" w:rsidRDefault="006567FB">
      <w:pPr>
        <w:rPr>
          <w:sz w:val="24"/>
          <w:szCs w:val="24"/>
        </w:rPr>
      </w:pPr>
    </w:p>
    <w:p w14:paraId="20442A93" w14:textId="13F56624" w:rsidR="007E5F33" w:rsidRDefault="009B360D">
      <w:pPr>
        <w:rPr>
          <w:sz w:val="24"/>
          <w:szCs w:val="24"/>
        </w:rPr>
      </w:pPr>
      <w:r>
        <w:rPr>
          <w:sz w:val="24"/>
          <w:szCs w:val="24"/>
        </w:rPr>
        <w:lastRenderedPageBreak/>
        <w:t xml:space="preserve">This Transition Plan represents a joint agreement between the family cluster schools of Cefn Saeson Comprehensive School. The cluster family include: </w:t>
      </w:r>
      <w:proofErr w:type="spellStart"/>
      <w:r>
        <w:rPr>
          <w:sz w:val="24"/>
          <w:szCs w:val="24"/>
        </w:rPr>
        <w:t>Tonnau</w:t>
      </w:r>
      <w:proofErr w:type="spellEnd"/>
      <w:r>
        <w:rPr>
          <w:sz w:val="24"/>
          <w:szCs w:val="24"/>
        </w:rPr>
        <w:t xml:space="preserve"> Primary School, </w:t>
      </w:r>
      <w:proofErr w:type="spellStart"/>
      <w:r>
        <w:rPr>
          <w:sz w:val="24"/>
          <w:szCs w:val="24"/>
        </w:rPr>
        <w:t>Gnoll</w:t>
      </w:r>
      <w:proofErr w:type="spellEnd"/>
      <w:r>
        <w:rPr>
          <w:sz w:val="24"/>
          <w:szCs w:val="24"/>
        </w:rPr>
        <w:t xml:space="preserve"> Primary School, Alderman Dav</w:t>
      </w:r>
      <w:r w:rsidR="00441A57">
        <w:rPr>
          <w:sz w:val="24"/>
          <w:szCs w:val="24"/>
        </w:rPr>
        <w:t>ies Primary School, Melin Primary</w:t>
      </w:r>
      <w:r>
        <w:rPr>
          <w:sz w:val="24"/>
          <w:szCs w:val="24"/>
        </w:rPr>
        <w:t xml:space="preserve"> School and Crynallt Primary School.</w:t>
      </w:r>
    </w:p>
    <w:p w14:paraId="722202CB" w14:textId="77777777" w:rsidR="007E5F33" w:rsidRDefault="007E5F33">
      <w:pPr>
        <w:rPr>
          <w:sz w:val="24"/>
          <w:szCs w:val="24"/>
        </w:rPr>
      </w:pPr>
    </w:p>
    <w:p w14:paraId="1DD22B32" w14:textId="77777777" w:rsidR="007E5F33" w:rsidRDefault="009B360D">
      <w:pPr>
        <w:rPr>
          <w:sz w:val="24"/>
          <w:szCs w:val="24"/>
        </w:rPr>
      </w:pPr>
      <w:r>
        <w:rPr>
          <w:sz w:val="24"/>
          <w:szCs w:val="24"/>
        </w:rPr>
        <w:t>Our commonly agreed aims are:</w:t>
      </w:r>
    </w:p>
    <w:p w14:paraId="22CFE3F9" w14:textId="77777777" w:rsidR="007E5F33" w:rsidRDefault="009B360D">
      <w:pPr>
        <w:pStyle w:val="ListParagraph"/>
        <w:numPr>
          <w:ilvl w:val="0"/>
          <w:numId w:val="1"/>
        </w:numPr>
        <w:rPr>
          <w:sz w:val="24"/>
          <w:szCs w:val="24"/>
        </w:rPr>
      </w:pPr>
      <w:r>
        <w:rPr>
          <w:sz w:val="24"/>
          <w:szCs w:val="24"/>
        </w:rPr>
        <w:t>To enable effective transfer of pupils between key stages</w:t>
      </w:r>
    </w:p>
    <w:p w14:paraId="1C6993E3" w14:textId="77777777" w:rsidR="007E5F33" w:rsidRDefault="009B360D">
      <w:pPr>
        <w:pStyle w:val="ListParagraph"/>
        <w:numPr>
          <w:ilvl w:val="0"/>
          <w:numId w:val="1"/>
        </w:numPr>
        <w:rPr>
          <w:sz w:val="24"/>
          <w:szCs w:val="24"/>
        </w:rPr>
      </w:pPr>
      <w:r>
        <w:rPr>
          <w:sz w:val="24"/>
          <w:szCs w:val="24"/>
        </w:rPr>
        <w:t>To facilitate educational continuity and progression, with direct reference to schemes of work and assessment strategies.</w:t>
      </w:r>
    </w:p>
    <w:p w14:paraId="195B296F" w14:textId="77777777" w:rsidR="007E5F33" w:rsidRDefault="009B360D">
      <w:pPr>
        <w:pStyle w:val="ListParagraph"/>
        <w:numPr>
          <w:ilvl w:val="0"/>
          <w:numId w:val="1"/>
        </w:numPr>
        <w:rPr>
          <w:sz w:val="24"/>
          <w:szCs w:val="24"/>
        </w:rPr>
      </w:pPr>
      <w:r>
        <w:rPr>
          <w:sz w:val="24"/>
          <w:szCs w:val="24"/>
        </w:rPr>
        <w:t>To encourage discussion between key stages and thus inform decision making and policy development</w:t>
      </w:r>
    </w:p>
    <w:p w14:paraId="5951431E" w14:textId="77777777" w:rsidR="007E5F33" w:rsidRDefault="009B360D">
      <w:pPr>
        <w:pStyle w:val="ListParagraph"/>
        <w:numPr>
          <w:ilvl w:val="0"/>
          <w:numId w:val="1"/>
        </w:numPr>
        <w:rPr>
          <w:sz w:val="24"/>
          <w:szCs w:val="24"/>
        </w:rPr>
      </w:pPr>
      <w:r>
        <w:rPr>
          <w:sz w:val="24"/>
          <w:szCs w:val="24"/>
        </w:rPr>
        <w:t>To share expertise and resources</w:t>
      </w:r>
    </w:p>
    <w:p w14:paraId="1D88ADCB" w14:textId="77777777" w:rsidR="007E5F33" w:rsidRDefault="009B360D">
      <w:pPr>
        <w:pStyle w:val="ListParagraph"/>
        <w:numPr>
          <w:ilvl w:val="0"/>
          <w:numId w:val="1"/>
        </w:numPr>
        <w:rPr>
          <w:sz w:val="24"/>
          <w:szCs w:val="24"/>
        </w:rPr>
      </w:pPr>
      <w:r>
        <w:rPr>
          <w:sz w:val="24"/>
          <w:szCs w:val="24"/>
        </w:rPr>
        <w:t>To realise the full benefits of common INSET/ Staff Training opportunities</w:t>
      </w:r>
    </w:p>
    <w:p w14:paraId="1F7FFAB2" w14:textId="77777777" w:rsidR="007E5F33" w:rsidRDefault="009B360D">
      <w:pPr>
        <w:pStyle w:val="ListParagraph"/>
        <w:numPr>
          <w:ilvl w:val="0"/>
          <w:numId w:val="1"/>
        </w:numPr>
        <w:rPr>
          <w:sz w:val="24"/>
          <w:szCs w:val="24"/>
        </w:rPr>
      </w:pPr>
      <w:r>
        <w:rPr>
          <w:sz w:val="24"/>
          <w:szCs w:val="24"/>
        </w:rPr>
        <w:t>To develop a common strategy to convey the importance of education to all sectors of our community</w:t>
      </w:r>
    </w:p>
    <w:p w14:paraId="0BC1501D" w14:textId="77777777" w:rsidR="007E5F33" w:rsidRDefault="007E5F33">
      <w:pPr>
        <w:rPr>
          <w:sz w:val="24"/>
          <w:szCs w:val="24"/>
        </w:rPr>
      </w:pPr>
    </w:p>
    <w:p w14:paraId="122B2D06" w14:textId="77777777" w:rsidR="007E5F33" w:rsidRDefault="009B360D">
      <w:pPr>
        <w:rPr>
          <w:sz w:val="24"/>
          <w:szCs w:val="24"/>
        </w:rPr>
      </w:pPr>
      <w:r>
        <w:rPr>
          <w:sz w:val="24"/>
          <w:szCs w:val="24"/>
        </w:rPr>
        <w:t>The implementation of the above aims fundamentally relies upon the development of a common educational philosophy in which no other partner is any more or less important than another.</w:t>
      </w:r>
    </w:p>
    <w:p w14:paraId="1D6AF368" w14:textId="77777777" w:rsidR="007E5F33" w:rsidRDefault="009B360D">
      <w:pPr>
        <w:rPr>
          <w:sz w:val="24"/>
          <w:szCs w:val="24"/>
        </w:rPr>
      </w:pPr>
      <w:r>
        <w:rPr>
          <w:sz w:val="24"/>
          <w:szCs w:val="24"/>
        </w:rPr>
        <w:t>A cornerstone of effective communication is the series of regular cluster meetings at which each school is represented by the head or deputy.</w:t>
      </w:r>
    </w:p>
    <w:p w14:paraId="2B08A769" w14:textId="77777777" w:rsidR="007E5F33" w:rsidRDefault="009B360D">
      <w:pPr>
        <w:rPr>
          <w:sz w:val="24"/>
          <w:szCs w:val="24"/>
        </w:rPr>
      </w:pPr>
      <w:r>
        <w:rPr>
          <w:sz w:val="24"/>
          <w:szCs w:val="24"/>
        </w:rPr>
        <w:t>From a common agenda we identify need:</w:t>
      </w:r>
    </w:p>
    <w:p w14:paraId="060B3DB1" w14:textId="77777777" w:rsidR="007E5F33" w:rsidRDefault="009B360D">
      <w:pPr>
        <w:pStyle w:val="ListParagraph"/>
        <w:numPr>
          <w:ilvl w:val="0"/>
          <w:numId w:val="2"/>
        </w:numPr>
        <w:rPr>
          <w:sz w:val="24"/>
          <w:szCs w:val="24"/>
        </w:rPr>
      </w:pPr>
      <w:r>
        <w:rPr>
          <w:sz w:val="24"/>
          <w:szCs w:val="24"/>
        </w:rPr>
        <w:t>Within the transfer process</w:t>
      </w:r>
    </w:p>
    <w:p w14:paraId="784A5AE8" w14:textId="77777777" w:rsidR="007E5F33" w:rsidRDefault="009B360D">
      <w:pPr>
        <w:pStyle w:val="ListParagraph"/>
        <w:numPr>
          <w:ilvl w:val="0"/>
          <w:numId w:val="2"/>
        </w:numPr>
        <w:rPr>
          <w:sz w:val="24"/>
          <w:szCs w:val="24"/>
        </w:rPr>
      </w:pPr>
      <w:r>
        <w:rPr>
          <w:sz w:val="24"/>
          <w:szCs w:val="24"/>
        </w:rPr>
        <w:t>Within identified areas of curriculum</w:t>
      </w:r>
    </w:p>
    <w:p w14:paraId="578E6B8B" w14:textId="77777777" w:rsidR="007E5F33" w:rsidRDefault="009B360D">
      <w:pPr>
        <w:pStyle w:val="ListParagraph"/>
        <w:numPr>
          <w:ilvl w:val="0"/>
          <w:numId w:val="2"/>
        </w:numPr>
        <w:rPr>
          <w:sz w:val="24"/>
          <w:szCs w:val="24"/>
        </w:rPr>
      </w:pPr>
      <w:r>
        <w:rPr>
          <w:sz w:val="24"/>
          <w:szCs w:val="24"/>
        </w:rPr>
        <w:t>Within teaching and learning strategies</w:t>
      </w:r>
    </w:p>
    <w:p w14:paraId="0DC097AE" w14:textId="77777777" w:rsidR="007E5F33" w:rsidRDefault="009B360D">
      <w:pPr>
        <w:pStyle w:val="ListParagraph"/>
        <w:numPr>
          <w:ilvl w:val="0"/>
          <w:numId w:val="2"/>
        </w:numPr>
        <w:rPr>
          <w:sz w:val="24"/>
          <w:szCs w:val="24"/>
        </w:rPr>
      </w:pPr>
      <w:r>
        <w:rPr>
          <w:sz w:val="24"/>
          <w:szCs w:val="24"/>
        </w:rPr>
        <w:t>Within whole school issues</w:t>
      </w:r>
    </w:p>
    <w:p w14:paraId="30879C11" w14:textId="77777777" w:rsidR="007E5F33" w:rsidRDefault="009B360D">
      <w:pPr>
        <w:pStyle w:val="ListParagraph"/>
        <w:numPr>
          <w:ilvl w:val="0"/>
          <w:numId w:val="2"/>
        </w:numPr>
        <w:rPr>
          <w:sz w:val="24"/>
          <w:szCs w:val="24"/>
        </w:rPr>
      </w:pPr>
      <w:r>
        <w:rPr>
          <w:sz w:val="24"/>
          <w:szCs w:val="24"/>
        </w:rPr>
        <w:t>Within community links</w:t>
      </w:r>
    </w:p>
    <w:p w14:paraId="5D7B184F" w14:textId="77777777" w:rsidR="007E5F33" w:rsidRDefault="007E5F33">
      <w:pPr>
        <w:rPr>
          <w:sz w:val="24"/>
          <w:szCs w:val="24"/>
        </w:rPr>
      </w:pPr>
    </w:p>
    <w:p w14:paraId="56606A43" w14:textId="77777777" w:rsidR="007E5F33" w:rsidRDefault="009B360D">
      <w:pPr>
        <w:rPr>
          <w:sz w:val="24"/>
          <w:szCs w:val="24"/>
        </w:rPr>
      </w:pPr>
      <w:r>
        <w:rPr>
          <w:sz w:val="24"/>
          <w:szCs w:val="24"/>
        </w:rPr>
        <w:lastRenderedPageBreak/>
        <w:t>The plan set out how we will work together to realise the above aims. We will seek the views of parents, carers and pupils on the approach taken. We will also work in partnership with colleagues in the local education authority.</w:t>
      </w:r>
    </w:p>
    <w:p w14:paraId="45544AF6" w14:textId="77777777" w:rsidR="007E5F33" w:rsidRDefault="004C72A4">
      <w:pPr>
        <w:rPr>
          <w:sz w:val="24"/>
          <w:szCs w:val="24"/>
        </w:rPr>
      </w:pPr>
      <w:r>
        <w:rPr>
          <w:sz w:val="24"/>
          <w:szCs w:val="24"/>
        </w:rPr>
        <w:t>The plan</w:t>
      </w:r>
      <w:r w:rsidR="009B360D">
        <w:rPr>
          <w:sz w:val="24"/>
          <w:szCs w:val="24"/>
        </w:rPr>
        <w:t xml:space="preserve"> addresses the action that will be taken against the core requirements set out in guidance provided by the Welsh Assembly:</w:t>
      </w:r>
    </w:p>
    <w:p w14:paraId="4DCC86EC" w14:textId="77777777" w:rsidR="007E5F33" w:rsidRDefault="009B360D">
      <w:pPr>
        <w:pStyle w:val="ListParagraph"/>
        <w:numPr>
          <w:ilvl w:val="0"/>
          <w:numId w:val="3"/>
        </w:numPr>
        <w:rPr>
          <w:sz w:val="24"/>
          <w:szCs w:val="24"/>
        </w:rPr>
      </w:pPr>
      <w:r>
        <w:rPr>
          <w:sz w:val="24"/>
          <w:szCs w:val="24"/>
        </w:rPr>
        <w:t>Managing and co-ordinating transition</w:t>
      </w:r>
    </w:p>
    <w:p w14:paraId="3A60F77B" w14:textId="77777777" w:rsidR="007E5F33" w:rsidRDefault="009B360D">
      <w:pPr>
        <w:pStyle w:val="ListParagraph"/>
        <w:numPr>
          <w:ilvl w:val="0"/>
          <w:numId w:val="3"/>
        </w:numPr>
        <w:rPr>
          <w:sz w:val="24"/>
          <w:szCs w:val="24"/>
        </w:rPr>
      </w:pPr>
      <w:r>
        <w:rPr>
          <w:sz w:val="24"/>
          <w:szCs w:val="24"/>
        </w:rPr>
        <w:t>Joint curriculum planning</w:t>
      </w:r>
    </w:p>
    <w:p w14:paraId="35030B2B" w14:textId="77777777" w:rsidR="007E5F33" w:rsidRDefault="009B360D">
      <w:pPr>
        <w:pStyle w:val="ListParagraph"/>
        <w:numPr>
          <w:ilvl w:val="0"/>
          <w:numId w:val="3"/>
        </w:numPr>
        <w:rPr>
          <w:sz w:val="24"/>
          <w:szCs w:val="24"/>
        </w:rPr>
      </w:pPr>
      <w:r>
        <w:rPr>
          <w:sz w:val="24"/>
          <w:szCs w:val="24"/>
        </w:rPr>
        <w:t>Achieving continuity in teaching and learning methods</w:t>
      </w:r>
    </w:p>
    <w:p w14:paraId="50D03029" w14:textId="77777777" w:rsidR="007E5F33" w:rsidRDefault="009B360D">
      <w:pPr>
        <w:pStyle w:val="ListParagraph"/>
        <w:numPr>
          <w:ilvl w:val="0"/>
          <w:numId w:val="3"/>
        </w:numPr>
        <w:rPr>
          <w:sz w:val="24"/>
          <w:szCs w:val="24"/>
        </w:rPr>
      </w:pPr>
      <w:r>
        <w:rPr>
          <w:sz w:val="24"/>
          <w:szCs w:val="24"/>
        </w:rPr>
        <w:t>Achieving consistency in assessment and monitoring and tracking pupils’ progress against prior attainment</w:t>
      </w:r>
    </w:p>
    <w:p w14:paraId="5DD46FEE" w14:textId="77777777" w:rsidR="007E5F33" w:rsidRDefault="009B360D">
      <w:pPr>
        <w:pStyle w:val="ListParagraph"/>
        <w:numPr>
          <w:ilvl w:val="0"/>
          <w:numId w:val="3"/>
        </w:numPr>
        <w:rPr>
          <w:sz w:val="24"/>
          <w:szCs w:val="24"/>
        </w:rPr>
      </w:pPr>
      <w:r>
        <w:rPr>
          <w:sz w:val="24"/>
          <w:szCs w:val="24"/>
        </w:rPr>
        <w:t>Evaluation of the impact of the policy and improvement initiatives on standards</w:t>
      </w:r>
    </w:p>
    <w:p w14:paraId="060AE8BD" w14:textId="77777777" w:rsidR="007E5F33" w:rsidRDefault="009B360D">
      <w:pPr>
        <w:rPr>
          <w:sz w:val="24"/>
          <w:szCs w:val="24"/>
        </w:rPr>
      </w:pPr>
      <w:r>
        <w:rPr>
          <w:sz w:val="24"/>
          <w:szCs w:val="24"/>
        </w:rPr>
        <w:t xml:space="preserve">In </w:t>
      </w:r>
      <w:proofErr w:type="gramStart"/>
      <w:r>
        <w:rPr>
          <w:sz w:val="24"/>
          <w:szCs w:val="24"/>
        </w:rPr>
        <w:t>addition</w:t>
      </w:r>
      <w:proofErr w:type="gramEnd"/>
      <w:r>
        <w:rPr>
          <w:sz w:val="24"/>
          <w:szCs w:val="24"/>
        </w:rPr>
        <w:t xml:space="preserve"> the plan sets out how we shall work together to ensure that there are effective arrangements for transition in the following areas:</w:t>
      </w:r>
    </w:p>
    <w:p w14:paraId="6B8F4884" w14:textId="77777777" w:rsidR="007E5F33" w:rsidRDefault="009B360D">
      <w:pPr>
        <w:pStyle w:val="ListParagraph"/>
        <w:numPr>
          <w:ilvl w:val="0"/>
          <w:numId w:val="4"/>
        </w:numPr>
        <w:rPr>
          <w:sz w:val="24"/>
          <w:szCs w:val="24"/>
        </w:rPr>
      </w:pPr>
      <w:r>
        <w:rPr>
          <w:sz w:val="24"/>
          <w:szCs w:val="24"/>
        </w:rPr>
        <w:t xml:space="preserve">Pastoral links to meet pupils’ personal and social </w:t>
      </w:r>
      <w:proofErr w:type="gramStart"/>
      <w:r>
        <w:rPr>
          <w:sz w:val="24"/>
          <w:szCs w:val="24"/>
        </w:rPr>
        <w:t>needs;</w:t>
      </w:r>
      <w:proofErr w:type="gramEnd"/>
    </w:p>
    <w:p w14:paraId="72DDD015" w14:textId="77777777" w:rsidR="007E5F33" w:rsidRDefault="009B360D">
      <w:pPr>
        <w:pStyle w:val="ListParagraph"/>
        <w:numPr>
          <w:ilvl w:val="0"/>
          <w:numId w:val="4"/>
        </w:numPr>
        <w:rPr>
          <w:sz w:val="24"/>
          <w:szCs w:val="24"/>
        </w:rPr>
      </w:pPr>
      <w:r>
        <w:rPr>
          <w:sz w:val="24"/>
          <w:szCs w:val="24"/>
        </w:rPr>
        <w:t xml:space="preserve">Sharing information about pupils’ achievements and </w:t>
      </w:r>
      <w:proofErr w:type="gramStart"/>
      <w:r>
        <w:rPr>
          <w:sz w:val="24"/>
          <w:szCs w:val="24"/>
        </w:rPr>
        <w:t>attainment;</w:t>
      </w:r>
      <w:proofErr w:type="gramEnd"/>
    </w:p>
    <w:p w14:paraId="4284B7A1" w14:textId="77777777" w:rsidR="007E5F33" w:rsidRDefault="009B360D">
      <w:pPr>
        <w:pStyle w:val="ListParagraph"/>
        <w:numPr>
          <w:ilvl w:val="0"/>
          <w:numId w:val="4"/>
        </w:numPr>
        <w:rPr>
          <w:sz w:val="24"/>
          <w:szCs w:val="24"/>
        </w:rPr>
      </w:pPr>
      <w:r>
        <w:rPr>
          <w:sz w:val="24"/>
          <w:szCs w:val="24"/>
        </w:rPr>
        <w:t>Communicating the learning needs of individual pupils.</w:t>
      </w:r>
    </w:p>
    <w:p w14:paraId="33CD5F5C" w14:textId="77777777" w:rsidR="007E5F33" w:rsidRDefault="009B360D">
      <w:pPr>
        <w:rPr>
          <w:sz w:val="24"/>
          <w:szCs w:val="24"/>
        </w:rPr>
      </w:pPr>
      <w:r>
        <w:rPr>
          <w:sz w:val="24"/>
          <w:szCs w:val="24"/>
        </w:rPr>
        <w:t>In each case, the</w:t>
      </w:r>
      <w:r w:rsidR="00441A57">
        <w:rPr>
          <w:sz w:val="24"/>
          <w:szCs w:val="24"/>
        </w:rPr>
        <w:t xml:space="preserve"> plan identifies current and on</w:t>
      </w:r>
      <w:r>
        <w:rPr>
          <w:sz w:val="24"/>
          <w:szCs w:val="24"/>
        </w:rPr>
        <w:t>going work. Where areas of improvement are identified we shall agree priorities and work together to address these over the period of the plan.</w:t>
      </w:r>
    </w:p>
    <w:p w14:paraId="68D01FAA" w14:textId="77777777" w:rsidR="007E5F33" w:rsidRDefault="007E5F33">
      <w:pPr>
        <w:rPr>
          <w:sz w:val="24"/>
          <w:szCs w:val="24"/>
        </w:rPr>
      </w:pPr>
    </w:p>
    <w:p w14:paraId="135BB565" w14:textId="77777777" w:rsidR="007E5F33" w:rsidRDefault="007E5F33">
      <w:pPr>
        <w:rPr>
          <w:sz w:val="24"/>
          <w:szCs w:val="24"/>
        </w:rPr>
      </w:pPr>
    </w:p>
    <w:p w14:paraId="404AA81A" w14:textId="77777777" w:rsidR="007E5F33" w:rsidRDefault="007E5F33">
      <w:pPr>
        <w:rPr>
          <w:sz w:val="24"/>
          <w:szCs w:val="24"/>
        </w:rPr>
      </w:pPr>
    </w:p>
    <w:p w14:paraId="0B1FC112" w14:textId="77777777" w:rsidR="007E5F33" w:rsidRDefault="007E5F33">
      <w:pPr>
        <w:rPr>
          <w:sz w:val="24"/>
          <w:szCs w:val="24"/>
        </w:rPr>
      </w:pPr>
    </w:p>
    <w:p w14:paraId="5C3E77ED" w14:textId="77777777" w:rsidR="007E5F33" w:rsidRDefault="007E5F33">
      <w:pPr>
        <w:rPr>
          <w:sz w:val="24"/>
          <w:szCs w:val="24"/>
        </w:rPr>
      </w:pPr>
    </w:p>
    <w:p w14:paraId="638B9543" w14:textId="77777777" w:rsidR="007E5F33" w:rsidRDefault="007E5F33">
      <w:pPr>
        <w:rPr>
          <w:sz w:val="24"/>
          <w:szCs w:val="24"/>
        </w:rPr>
      </w:pPr>
    </w:p>
    <w:p w14:paraId="63887757" w14:textId="5E194DC9" w:rsidR="007E5F33" w:rsidRDefault="006567FB" w:rsidP="00E0725E">
      <w:pPr>
        <w:rPr>
          <w:sz w:val="24"/>
          <w:szCs w:val="24"/>
        </w:rPr>
      </w:pPr>
      <w:r>
        <w:rPr>
          <w:sz w:val="24"/>
          <w:szCs w:val="24"/>
        </w:rPr>
        <w:lastRenderedPageBreak/>
        <w:t>Governors accept the Transition Policy on 3</w:t>
      </w:r>
      <w:r w:rsidRPr="006567FB">
        <w:rPr>
          <w:sz w:val="24"/>
          <w:szCs w:val="24"/>
          <w:vertAlign w:val="superscript"/>
        </w:rPr>
        <w:t>rd</w:t>
      </w:r>
      <w:r>
        <w:rPr>
          <w:sz w:val="24"/>
          <w:szCs w:val="24"/>
        </w:rPr>
        <w:t xml:space="preserve"> October 2024</w:t>
      </w:r>
    </w:p>
    <w:p w14:paraId="61D9A258" w14:textId="77777777" w:rsidR="006567FB" w:rsidRDefault="006567FB" w:rsidP="00E0725E">
      <w:pPr>
        <w:rPr>
          <w:sz w:val="24"/>
          <w:szCs w:val="24"/>
        </w:rPr>
      </w:pPr>
    </w:p>
    <w:p w14:paraId="32D566D1" w14:textId="0C13E875" w:rsidR="006567FB" w:rsidRDefault="006567FB" w:rsidP="00E0725E">
      <w:pPr>
        <w:rPr>
          <w:sz w:val="24"/>
          <w:szCs w:val="24"/>
        </w:rPr>
      </w:pPr>
      <w:r>
        <w:rPr>
          <w:sz w:val="24"/>
          <w:szCs w:val="24"/>
        </w:rPr>
        <w:t>Chair of Governors Signature</w:t>
      </w:r>
    </w:p>
    <w:p w14:paraId="378B6959" w14:textId="6EB4B3DF" w:rsidR="006567FB" w:rsidRDefault="006567FB" w:rsidP="00E0725E">
      <w:pPr>
        <w:rPr>
          <w:sz w:val="24"/>
          <w:szCs w:val="24"/>
        </w:rPr>
      </w:pPr>
      <w:r>
        <w:rPr>
          <w:sz w:val="24"/>
          <w:szCs w:val="24"/>
        </w:rPr>
        <w:t>Councillor P Rees</w:t>
      </w:r>
    </w:p>
    <w:p w14:paraId="3EF863DF" w14:textId="242D4FE2" w:rsidR="006567FB" w:rsidRDefault="00514DC1" w:rsidP="00E0725E">
      <w:pPr>
        <w:rPr>
          <w:sz w:val="24"/>
          <w:szCs w:val="24"/>
        </w:rPr>
      </w:pPr>
      <w:r w:rsidRPr="00167B22">
        <w:rPr>
          <w:noProof/>
          <w:lang w:eastAsia="en-GB"/>
        </w:rPr>
        <w:drawing>
          <wp:inline distT="0" distB="0" distL="0" distR="0" wp14:anchorId="795E5FA0" wp14:editId="165535C6">
            <wp:extent cx="1123950" cy="457200"/>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p>
    <w:sectPr w:rsidR="006567FB" w:rsidSect="00441A57">
      <w:pgSz w:w="16838" w:h="11906" w:orient="landscape"/>
      <w:pgMar w:top="1440" w:right="1440" w:bottom="1440" w:left="1440" w:header="709" w:footer="709" w:gutter="0"/>
      <w:pgBorders w:display="firstPage" w:offsetFrom="page">
        <w:top w:val="single" w:sz="18" w:space="24" w:color="990000"/>
        <w:left w:val="single" w:sz="18" w:space="24" w:color="990000"/>
        <w:bottom w:val="single" w:sz="18" w:space="24" w:color="990000"/>
        <w:right w:val="single" w:sz="18"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74B45"/>
    <w:multiLevelType w:val="hybridMultilevel"/>
    <w:tmpl w:val="4E58D9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95444"/>
    <w:multiLevelType w:val="hybridMultilevel"/>
    <w:tmpl w:val="E5F81B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D35AA"/>
    <w:multiLevelType w:val="hybridMultilevel"/>
    <w:tmpl w:val="CDE669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25EB9"/>
    <w:multiLevelType w:val="hybridMultilevel"/>
    <w:tmpl w:val="77F44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60060">
    <w:abstractNumId w:val="0"/>
  </w:num>
  <w:num w:numId="2" w16cid:durableId="2029941135">
    <w:abstractNumId w:val="2"/>
  </w:num>
  <w:num w:numId="3" w16cid:durableId="411052947">
    <w:abstractNumId w:val="1"/>
  </w:num>
  <w:num w:numId="4" w16cid:durableId="992870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33"/>
    <w:rsid w:val="00003C54"/>
    <w:rsid w:val="003635ED"/>
    <w:rsid w:val="00441A57"/>
    <w:rsid w:val="004C72A4"/>
    <w:rsid w:val="00514DC1"/>
    <w:rsid w:val="006567FB"/>
    <w:rsid w:val="006A1601"/>
    <w:rsid w:val="00705701"/>
    <w:rsid w:val="007E5F33"/>
    <w:rsid w:val="009B360D"/>
    <w:rsid w:val="00C2669E"/>
    <w:rsid w:val="00D97D38"/>
    <w:rsid w:val="00E0725E"/>
    <w:rsid w:val="00EC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E312"/>
  <w15:docId w15:val="{D3847CB7-4AF8-496C-AD75-58FF53DB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lcf76f155ced4ddcb4097134ff3c332f xmlns="f34e252f-fcb6-455b-a1a6-84c9243386f9">
      <Terms xmlns="http://schemas.microsoft.com/office/infopath/2007/PartnerControls"/>
    </lcf76f155ced4ddcb4097134ff3c332f>
    <Comments xmlns="f34e252f-fcb6-455b-a1a6-84c9243386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A6220-A20C-43DB-9365-AC15D63D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E8F21-CA7D-4888-B3AA-8986D699E1C8}">
  <ds:schemaRefs>
    <ds:schemaRef ds:uri="http://schemas.microsoft.com/office/2006/metadata/properties"/>
    <ds:schemaRef ds:uri="http://schemas.microsoft.com/office/2006/documentManagement/types"/>
    <ds:schemaRef ds:uri="89ac8bf4-bc18-4733-ac87-97282175871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251c573-7db3-4a93-ae96-1db5d62d289b"/>
    <ds:schemaRef ds:uri="http://www.w3.org/XML/1998/namespace"/>
    <ds:schemaRef ds:uri="00295873-81ac-4678-822e-be1fa06417f8"/>
    <ds:schemaRef ds:uri="f34e252f-fcb6-455b-a1a6-84c9243386f9"/>
  </ds:schemaRefs>
</ds:datastoreItem>
</file>

<file path=customXml/itemProps3.xml><?xml version="1.0" encoding="utf-8"?>
<ds:datastoreItem xmlns:ds="http://schemas.openxmlformats.org/officeDocument/2006/customXml" ds:itemID="{9AEDFA0B-4679-480C-A177-088264049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429</Words>
  <Characters>2239</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Reed</dc:creator>
  <cp:lastModifiedBy>A Powis (Cefn Saeson Comprehensive School)</cp:lastModifiedBy>
  <cp:revision>4</cp:revision>
  <dcterms:created xsi:type="dcterms:W3CDTF">2021-10-12T07:08:00Z</dcterms:created>
  <dcterms:modified xsi:type="dcterms:W3CDTF">2024-09-24T13:39:00Z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y fmtid="{D5CDD505-2E9C-101B-9397-08002B2CF9AE}" pid="3" name="MediaServiceImageTags">
    <vt:lpwstr/>
  </property>
</Properties>
</file>